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b/>
          <w:sz w:val="26"/>
          <w:szCs w:val="26"/>
        </w:rPr>
      </w:pPr>
      <w:r w:rsidRPr="001D2471">
        <w:rPr>
          <w:rFonts w:ascii="TimesNewRomanPS-BoldMT" w:hAnsi="TimesNewRomanPS-BoldMT"/>
          <w:b/>
          <w:sz w:val="28"/>
          <w:szCs w:val="28"/>
        </w:rPr>
        <w:t xml:space="preserve">Manifesto di Rivolta femminile </w:t>
      </w:r>
      <w:r w:rsidRPr="001D2471">
        <w:rPr>
          <w:rFonts w:ascii="TimesNewRomanPS-BoldMT" w:hAnsi="TimesNewRomanPS-BoldMT"/>
          <w:b/>
          <w:sz w:val="26"/>
          <w:szCs w:val="26"/>
        </w:rPr>
        <w:t>*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i/>
          <w:sz w:val="22"/>
          <w:szCs w:val="22"/>
        </w:rPr>
      </w:pPr>
      <w:r w:rsidRPr="001D2471">
        <w:rPr>
          <w:rFonts w:ascii="TimesNewRomanPS-BoldMT" w:hAnsi="TimesNewRomanPS-BoldMT"/>
          <w:i/>
          <w:sz w:val="22"/>
          <w:szCs w:val="22"/>
        </w:rPr>
        <w:t>«Le donne saranno sempre divise le une dalle altre? Non formeranno mai un corpo unico? »</w:t>
      </w:r>
    </w:p>
    <w:p w:rsid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i/>
          <w:sz w:val="22"/>
          <w:szCs w:val="22"/>
        </w:rPr>
      </w:pPr>
      <w:r w:rsidRPr="001D2471">
        <w:rPr>
          <w:rFonts w:ascii="TimesNewRomanPS-BoldMT" w:hAnsi="TimesNewRomanPS-BoldMT"/>
          <w:i/>
          <w:sz w:val="22"/>
          <w:szCs w:val="22"/>
        </w:rPr>
        <w:t>(</w:t>
      </w:r>
      <w:proofErr w:type="spellStart"/>
      <w:r w:rsidRPr="001D2471">
        <w:rPr>
          <w:rFonts w:ascii="TimesNewRomanPS-BoldMT" w:hAnsi="TimesNewRomanPS-BoldMT"/>
          <w:i/>
          <w:sz w:val="22"/>
          <w:szCs w:val="22"/>
        </w:rPr>
        <w:t>Olympe</w:t>
      </w:r>
      <w:proofErr w:type="spellEnd"/>
      <w:r w:rsidRPr="001D2471">
        <w:rPr>
          <w:rFonts w:ascii="TimesNewRomanPS-BoldMT" w:hAnsi="TimesNewRomanPS-BoldMT"/>
          <w:i/>
          <w:sz w:val="22"/>
          <w:szCs w:val="22"/>
        </w:rPr>
        <w:t xml:space="preserve"> de </w:t>
      </w:r>
      <w:proofErr w:type="spellStart"/>
      <w:r w:rsidRPr="001D2471">
        <w:rPr>
          <w:rFonts w:ascii="TimesNewRomanPS-BoldMT" w:hAnsi="TimesNewRomanPS-BoldMT"/>
          <w:i/>
          <w:sz w:val="22"/>
          <w:szCs w:val="22"/>
        </w:rPr>
        <w:t>Gouges</w:t>
      </w:r>
      <w:proofErr w:type="spellEnd"/>
      <w:r w:rsidRPr="001D2471">
        <w:rPr>
          <w:rFonts w:ascii="TimesNewRomanPS-BoldMT" w:hAnsi="TimesNewRomanPS-BoldMT"/>
          <w:i/>
          <w:sz w:val="22"/>
          <w:szCs w:val="22"/>
        </w:rPr>
        <w:t>, 1791)</w:t>
      </w:r>
    </w:p>
    <w:p w:rsidR="00C947FC" w:rsidRPr="001D2471" w:rsidRDefault="00C947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i/>
          <w:sz w:val="22"/>
          <w:szCs w:val="22"/>
        </w:rPr>
      </w:pP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donna non va definita in rapporto all'uomo. Su questa coscienza SI fondano tanto la nostra lotta quanto la</w:t>
      </w:r>
      <w:r w:rsidRPr="001D2471">
        <w:rPr>
          <w:rFonts w:ascii="TimesNewRomanPS-BoldMT" w:hAnsi="TimesNewRomanPS-BoldMT"/>
          <w:sz w:val="20"/>
        </w:rPr>
        <w:t xml:space="preserve"> nostra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libertà.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L'uomo non è il modello a cui adeguare il processo della scoperta di sé da parte della donna.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donna è l'altro rispetto all'uomo. L'uomo è l'altro rispetto alla donna. L'uguaglianza è un tentativo ideologico per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 xml:space="preserve">asservire la donna a più </w:t>
      </w:r>
      <w:r w:rsidRPr="001D2471">
        <w:rPr>
          <w:rFonts w:ascii="TimesNewRomanPS-BoldMT" w:hAnsi="TimesNewRomanPS-BoldMT"/>
          <w:sz w:val="20"/>
        </w:rPr>
        <w:t>alti livelli.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Identificare la donna all'uomo significa annullare l'ultima via di liberazione.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Liberarsi, per la donna, non vuol dire accettare la stessa vita dell'uomo perché è invivibile , ma esprimere il suo senso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dell’esistenza.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donna come soggetto n</w:t>
      </w:r>
      <w:r w:rsidRPr="001D2471">
        <w:rPr>
          <w:rFonts w:ascii="TimesNewRomanPS-BoldMT" w:hAnsi="TimesNewRomanPS-BoldMT"/>
          <w:sz w:val="20"/>
        </w:rPr>
        <w:t>on rifiuta l'uomo come soggetto, ma lo rifiuta come ruolo assoluto. Nella vita sociale lo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rifiuta come ruolo autoritario.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Finora il mito della complementarità è stato usato dall’uomo per giustificare il proprio potere.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Le donne sono persuase fin dall'infan</w:t>
      </w:r>
      <w:r w:rsidRPr="001D2471">
        <w:rPr>
          <w:rFonts w:ascii="TimesNewRomanPS-BoldMT" w:hAnsi="TimesNewRomanPS-BoldMT"/>
          <w:sz w:val="20"/>
        </w:rPr>
        <w:t>zia a non prendere decisioni e a dipendere da persona «capace» e «responsabile»: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 xml:space="preserve">il padre, il marito, il </w:t>
      </w:r>
      <w:proofErr w:type="spellStart"/>
      <w:r w:rsidRPr="001D2471">
        <w:rPr>
          <w:rFonts w:ascii="TimesNewRomanPS-BoldMT" w:hAnsi="TimesNewRomanPS-BoldMT"/>
          <w:sz w:val="20"/>
        </w:rPr>
        <w:t>fratello…</w:t>
      </w:r>
      <w:proofErr w:type="spellEnd"/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L'immagine femminile con cui l'uomo ha interpretato la donna è stata una sua invenzione.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Verginità, castità, fedeltà non sono virtù; ma vinco</w:t>
      </w:r>
      <w:r w:rsidRPr="001D2471">
        <w:rPr>
          <w:rFonts w:ascii="TimesNewRomanPS-BoldMT" w:hAnsi="TimesNewRomanPS-BoldMT"/>
          <w:sz w:val="20"/>
        </w:rPr>
        <w:t>li per costruire e mantenere la famiglia. L'onore ne è la conseguente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codificazione repressiva.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Nel matrimonio la donna, priva del suo nome, perde la sua identità significando il passaggio di proprietà che è avvenuto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tra il padre di lei e il marito.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Chi ge</w:t>
      </w:r>
      <w:r w:rsidRPr="001D2471">
        <w:rPr>
          <w:rFonts w:ascii="TimesNewRomanPS-BoldMT" w:hAnsi="TimesNewRomanPS-BoldMT"/>
          <w:sz w:val="20"/>
        </w:rPr>
        <w:t>nera non ha la facoltà di attribuire ai figli i1 proprio nome: il diritto della donna è stato ambito da altri di cui è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diventato il privilegio.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Ci costringono a rivendicare l'evidenza di un fatto naturale.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Riconosciamo nel matrimonio l'istituzione che ha s</w:t>
      </w:r>
      <w:r w:rsidRPr="001D2471">
        <w:rPr>
          <w:rFonts w:ascii="TimesNewRomanPS-BoldMT" w:hAnsi="TimesNewRomanPS-BoldMT"/>
          <w:sz w:val="20"/>
        </w:rPr>
        <w:t>ubordinato la donna al destino maschile. Siamo contro i1 matrimonio.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Il divorzio è un innesto di matrimonio da cui l'istituzione esce rafforzata.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 xml:space="preserve">La trasmissione della vita, il rispetto della vita, il senso della vita sono esperienza intensa della donna e </w:t>
      </w:r>
      <w:r w:rsidRPr="001D2471">
        <w:rPr>
          <w:rFonts w:ascii="TimesNewRomanPS-BoldMT" w:hAnsi="TimesNewRomanPS-BoldMT"/>
          <w:sz w:val="20"/>
        </w:rPr>
        <w:t>valori che lei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rivendica.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 xml:space="preserve">Il primo elemento di rancore della donna verso la società sta nell'essere costretta ad affrontare la maternità come un </w:t>
      </w:r>
      <w:proofErr w:type="spellStart"/>
      <w:r w:rsidRPr="001D2471">
        <w:rPr>
          <w:rFonts w:ascii="TimesNewRomanPS-BoldMT" w:hAnsi="TimesNewRomanPS-BoldMT"/>
          <w:sz w:val="20"/>
        </w:rPr>
        <w:t>autaut</w:t>
      </w:r>
      <w:proofErr w:type="spellEnd"/>
      <w:r w:rsidRPr="001D2471">
        <w:rPr>
          <w:rFonts w:ascii="TimesNewRomanPS-BoldMT" w:hAnsi="TimesNewRomanPS-BoldMT"/>
          <w:sz w:val="20"/>
        </w:rPr>
        <w:t>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Denunciamo lo snaturamento di una maternità pagata al prezzo dell'esclusione.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negazione della libert</w:t>
      </w:r>
      <w:r w:rsidRPr="001D2471">
        <w:rPr>
          <w:rFonts w:ascii="TimesNewRomanPS-BoldMT" w:hAnsi="TimesNewRomanPS-BoldMT"/>
          <w:sz w:val="20"/>
        </w:rPr>
        <w:t>à dell'aborto rientra nel veto globale che viene fatto all'autonomia della donna.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Non vogliamo pensare alla maternità tutta la vita e continuare a essere inconsci strumenti del potere patriarcale.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 xml:space="preserve">La donna è stufa di allevare un figlio che le diventerà un </w:t>
      </w:r>
      <w:r w:rsidRPr="001D2471">
        <w:rPr>
          <w:rFonts w:ascii="TimesNewRomanPS-BoldMT" w:hAnsi="TimesNewRomanPS-BoldMT"/>
          <w:sz w:val="20"/>
        </w:rPr>
        <w:t>cattivo amante.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In una libertà che si sente di affrontare, la donna libera anche il figlio, e il figlio è l'umanità.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In tutte le forme di convivenza, alimentare, pulire, accudire e ogni momento del vivere quotidiano devono essere gesti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reciproci.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Per educa</w:t>
      </w:r>
      <w:r w:rsidRPr="001D2471">
        <w:rPr>
          <w:rFonts w:ascii="TimesNewRomanPS-BoldMT" w:hAnsi="TimesNewRomanPS-BoldMT"/>
          <w:sz w:val="20"/>
        </w:rPr>
        <w:t>zione e per mimesi l'uomo e la donna sono già nei ruoli nella primissima infanzia.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Riconosciamo il carattere mistificatorio di tutte le ideologie, perché attraverso le forme ragionate di potere (teologico,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morale, filosofico, politico), hanno costretto l'u</w:t>
      </w:r>
      <w:r w:rsidRPr="001D2471">
        <w:rPr>
          <w:rFonts w:ascii="TimesNewRomanPS-BoldMT" w:hAnsi="TimesNewRomanPS-BoldMT"/>
          <w:sz w:val="20"/>
        </w:rPr>
        <w:t>manità a una condizione in autentica, oppressa e consenziente.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Dietro ogni ideologia noi intravediamo la gerarchia nei sessi.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Noi vogliamo d'ora in poi tra noi e il mondo nessuno schermo.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Il femminismo è stato il primo momento politico di critica storica a</w:t>
      </w:r>
      <w:r w:rsidRPr="001D2471">
        <w:rPr>
          <w:rFonts w:ascii="TimesNewRomanPS-BoldMT" w:hAnsi="TimesNewRomanPS-BoldMT"/>
          <w:sz w:val="20"/>
        </w:rPr>
        <w:t>lla famiglia e alla società.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Unifichiamo le situazioni e gli episodi dell'esperienza storica femminista: in essa la donna si è manifestata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interrompendo per la prima volta il monologo della civiltà patriarcale.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Noi identifichiamo nel lavoro domestico non r</w:t>
      </w:r>
      <w:r w:rsidRPr="001D2471">
        <w:rPr>
          <w:rFonts w:ascii="TimesNewRomanPS-BoldMT" w:hAnsi="TimesNewRomanPS-BoldMT"/>
          <w:sz w:val="20"/>
        </w:rPr>
        <w:t>etribuito la prestazione che permette al capitalismo, privato e di stato, di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sussistere.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Permetteremo ancora quello che di continuo si ripete al termine di ogni rivoluzione popolare quando la donna, che ha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combattuto insieme con gli altri, si trova messa d</w:t>
      </w:r>
      <w:r w:rsidRPr="001D2471">
        <w:rPr>
          <w:rFonts w:ascii="TimesNewRomanPS-BoldMT" w:hAnsi="TimesNewRomanPS-BoldMT"/>
          <w:sz w:val="20"/>
        </w:rPr>
        <w:t>a parte con tutti i suoi problemi?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Detestiamo i meccanismi della competitività e il ricatto che viene esercitato nel mondo dalla egemonia dell'efficienza.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Noi vogliamo mettere la nostra capacità lavorativa a disposizione di una società che ne sia immunizza</w:t>
      </w:r>
      <w:r w:rsidRPr="001D2471">
        <w:rPr>
          <w:rFonts w:ascii="TimesNewRomanPS-BoldMT" w:hAnsi="TimesNewRomanPS-BoldMT"/>
          <w:sz w:val="20"/>
        </w:rPr>
        <w:t>ta.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guerra è stata sempre l'attività del maschio e il suo modello di comportamento virile.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parità di retribuzione è un nostro diritto, ma la nostra oppressione è un'altra cosa. Ci basta la parità salariale quando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abbiamo già sulle spalle ore di lavor</w:t>
      </w:r>
      <w:r w:rsidRPr="001D2471">
        <w:rPr>
          <w:rFonts w:ascii="TimesNewRomanPS-BoldMT" w:hAnsi="TimesNewRomanPS-BoldMT"/>
          <w:sz w:val="20"/>
        </w:rPr>
        <w:t>o domestico?</w:t>
      </w:r>
      <w:r w:rsidR="00C947FC">
        <w:rPr>
          <w:rFonts w:ascii="TimesNewRomanPS-BoldMT" w:hAnsi="TimesNewRomanPS-BoldMT"/>
          <w:sz w:val="20"/>
        </w:rPr>
        <w:t xml:space="preserve"> 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Riesaminiamo gli apporti creativi della donna alla comunità e sfatiamo il mito della sua laboriosità sussidiaria.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Dare alto valore ai momenti « improduttivi » è un'estensione di vita proposta dalla donna.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Chi ha il potere afferma: «Fa parte de</w:t>
      </w:r>
      <w:r w:rsidRPr="001D2471">
        <w:rPr>
          <w:rFonts w:ascii="TimesNewRomanPS-BoldMT" w:hAnsi="TimesNewRomanPS-BoldMT"/>
          <w:sz w:val="20"/>
        </w:rPr>
        <w:t>ll'erotismo amare un essere inferiore ». Mantenere lo status quo è dunque un suo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atto di amore.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lastRenderedPageBreak/>
        <w:t>Accogliamo la libera sessualità in tutte le sue forme, perché abbiamo smesso di considerare la frigidità un'alternativa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onorevole.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Continuare a regolamentare la</w:t>
      </w:r>
      <w:r w:rsidRPr="001D2471">
        <w:rPr>
          <w:rFonts w:ascii="TimesNewRomanPS-BoldMT" w:hAnsi="TimesNewRomanPS-BoldMT"/>
          <w:sz w:val="20"/>
        </w:rPr>
        <w:t xml:space="preserve"> vita fra i sessi è una necessità del potere; l'unica scelta soddisfacente è un rapporto libero.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Sono un diritto dei bambini e degli adolescenti la curiosità e i giochi sessuali.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Abbiamo guardato per 4.000 anni: adesso abbiamo visto!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Alle nostre spalle sta</w:t>
      </w:r>
      <w:r w:rsidRPr="001D2471">
        <w:rPr>
          <w:rFonts w:ascii="TimesNewRomanPS-BoldMT" w:hAnsi="TimesNewRomanPS-BoldMT"/>
          <w:sz w:val="20"/>
        </w:rPr>
        <w:t xml:space="preserve"> l'apoteosi della millenaria supremazia maschile. Le religioni istituzionalizzate ne sono state il più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fermo piedistallo. E il concetto di « genio» ne ha costituito l'irraggiungibile gradino.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donna ha avuto l'esperienza di vedere ogni giorno distrutto q</w:t>
      </w:r>
      <w:r w:rsidRPr="001D2471">
        <w:rPr>
          <w:rFonts w:ascii="TimesNewRomanPS-BoldMT" w:hAnsi="TimesNewRomanPS-BoldMT"/>
          <w:sz w:val="20"/>
        </w:rPr>
        <w:t>uello che faceva.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Consideriamo incompleta una storia che si è costituita, sempre, senza considerare la donna soggetto attivo di essa.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Nulla o male è stato tramandato della presenza della donna: sta a noi riscoprirla per sapere la verità.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civiltà ci ha d</w:t>
      </w:r>
      <w:r w:rsidRPr="001D2471">
        <w:rPr>
          <w:rFonts w:ascii="TimesNewRomanPS-BoldMT" w:hAnsi="TimesNewRomanPS-BoldMT"/>
          <w:sz w:val="20"/>
        </w:rPr>
        <w:t>efinite inferiori, la Chiesa ci ha chiamate sesso, la psicanalisi ci ha tradite, il marxismo ci ha vendute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alla rivoluzione ipotetica.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Chiediamo referenze di millenni di pensiero filosofico che ha teorizzare l'inferiorità della donna.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Della grande umiliazi</w:t>
      </w:r>
      <w:r w:rsidRPr="001D2471">
        <w:rPr>
          <w:rFonts w:ascii="TimesNewRomanPS-BoldMT" w:hAnsi="TimesNewRomanPS-BoldMT"/>
          <w:sz w:val="20"/>
        </w:rPr>
        <w:t>one che il mondo patriarcale ci ha imposto noi consideriamo responsabili i sistematici del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pensiero: essi hanno mantenuto il principio della donna come essere aggiuntivo per la riproduzione della umanità,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legame con la divinità o soglia del mondo animale s</w:t>
      </w:r>
      <w:r w:rsidRPr="001D2471">
        <w:rPr>
          <w:rFonts w:ascii="TimesNewRomanPS-BoldMT" w:hAnsi="TimesNewRomanPS-BoldMT"/>
          <w:sz w:val="20"/>
        </w:rPr>
        <w:t>fera privata e pietas. Hanno giustificato nella metafisica ciò che era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ingiusto e atroce Della vita della donna.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 xml:space="preserve">Sputiamo su </w:t>
      </w:r>
      <w:proofErr w:type="spellStart"/>
      <w:r w:rsidRPr="001D2471">
        <w:rPr>
          <w:rFonts w:ascii="TimesNewRomanPS-BoldMT" w:hAnsi="TimesNewRomanPS-BoldMT"/>
          <w:sz w:val="20"/>
        </w:rPr>
        <w:t>Hegel</w:t>
      </w:r>
      <w:proofErr w:type="spellEnd"/>
      <w:r w:rsidRPr="001D2471">
        <w:rPr>
          <w:rFonts w:ascii="TimesNewRomanPS-BoldMT" w:hAnsi="TimesNewRomanPS-BoldMT"/>
          <w:sz w:val="20"/>
        </w:rPr>
        <w:t>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dialettica servo-padrone è una regolazione di conti, tra collettivi di uomini: essa non prevede la liberazione della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donn</w:t>
      </w:r>
      <w:r w:rsidRPr="001D2471">
        <w:rPr>
          <w:rFonts w:ascii="TimesNewRomanPS-BoldMT" w:hAnsi="TimesNewRomanPS-BoldMT"/>
          <w:sz w:val="20"/>
        </w:rPr>
        <w:t>a, il grande oppresso della civiltà patriarcale.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lotta di classe come teoria rivoluzionaria sviluppata dalla dialettica servo-padrone, ugualmente esclude la donna. Noi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rimettiamo in discussione il socialismo e la dittatura del proletariato.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Non riconosc</w:t>
      </w:r>
      <w:r w:rsidRPr="001D2471">
        <w:rPr>
          <w:rFonts w:ascii="TimesNewRomanPS-BoldMT" w:hAnsi="TimesNewRomanPS-BoldMT"/>
          <w:sz w:val="20"/>
        </w:rPr>
        <w:t>endosi nella cultura maschile, la donna le toglie l'illusione dell'universalità.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L'uomo ha sempre parlato a nome del genere umano, ma metà della popolazione terrestre lo accusa ora di aver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sublimare una mutilazione.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La forza dell'uomo è nel suo identificar</w:t>
      </w:r>
      <w:r w:rsidRPr="001D2471">
        <w:rPr>
          <w:rFonts w:ascii="TimesNewRomanPS-BoldMT" w:hAnsi="TimesNewRomanPS-BoldMT"/>
          <w:sz w:val="20"/>
        </w:rPr>
        <w:t>si con la cultura, la nostra nel rifiutarla.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Dopo questo atto di coscienza l'uomo sarà distinto dalla donna e dovrà ascoltare da lei tutto quello che la concerne.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Non salterà il mondo se l'uomo non avrà più l'equilibrio psicologico basato sulla nostra sott</w:t>
      </w:r>
      <w:r w:rsidRPr="001D2471">
        <w:rPr>
          <w:rFonts w:ascii="TimesNewRomanPS-BoldMT" w:hAnsi="TimesNewRomanPS-BoldMT"/>
          <w:sz w:val="20"/>
        </w:rPr>
        <w:t>omissione.</w:t>
      </w: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Nella cocente realtà di un universo che non ha mai svelato i suoi segreti, noi togliamo molto del credito dato agli</w:t>
      </w:r>
      <w:r w:rsidR="00C947FC">
        <w:rPr>
          <w:rFonts w:ascii="TimesNewRomanPS-BoldMT" w:hAnsi="TimesNewRomanPS-BoldMT"/>
          <w:sz w:val="20"/>
        </w:rPr>
        <w:t xml:space="preserve"> </w:t>
      </w:r>
      <w:r w:rsidRPr="001D2471">
        <w:rPr>
          <w:rFonts w:ascii="TimesNewRomanPS-BoldMT" w:hAnsi="TimesNewRomanPS-BoldMT"/>
          <w:sz w:val="20"/>
        </w:rPr>
        <w:t>accanimenti della cultura. Vogliamo essere all'altezza di un universo senza risposte.</w:t>
      </w:r>
    </w:p>
    <w:p w:rsid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sz w:val="20"/>
        </w:rPr>
        <w:t>Noi cerchiamo l'autenticità del gesto di ri</w:t>
      </w:r>
      <w:r w:rsidRPr="001D2471">
        <w:rPr>
          <w:rFonts w:ascii="TimesNewRomanPS-BoldMT" w:hAnsi="TimesNewRomanPS-BoldMT"/>
          <w:sz w:val="20"/>
        </w:rPr>
        <w:t>volta e non la sacrificheremo né all'organizzazione né al proselitismo.</w:t>
      </w:r>
    </w:p>
    <w:p w:rsidR="00C947FC" w:rsidRDefault="00C947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</w:p>
    <w:p w:rsidR="00C947FC" w:rsidRPr="001D2471" w:rsidRDefault="00C947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</w:p>
    <w:p w:rsidR="001D2471" w:rsidRPr="001D2471" w:rsidRDefault="001143FC" w:rsidP="001D2471">
      <w:pPr>
        <w:widowControl w:val="0"/>
        <w:autoSpaceDE w:val="0"/>
        <w:autoSpaceDN w:val="0"/>
        <w:adjustRightInd w:val="0"/>
        <w:rPr>
          <w:rFonts w:ascii="TimesNewRomanPS-BoldMT" w:hAnsi="TimesNewRomanPS-BoldMT"/>
          <w:sz w:val="20"/>
        </w:rPr>
      </w:pPr>
      <w:r w:rsidRPr="001D2471">
        <w:rPr>
          <w:rFonts w:ascii="TimesNewRomanPS-BoldMT" w:hAnsi="TimesNewRomanPS-BoldMT"/>
          <w:i/>
          <w:sz w:val="20"/>
        </w:rPr>
        <w:t>Roma, luglio 1970.</w:t>
      </w:r>
    </w:p>
    <w:p w:rsidR="001D2471" w:rsidRDefault="001143FC"/>
    <w:sectPr w:rsidR="001D2471" w:rsidSect="001D247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embedSystemFonts/>
  <w:proofState w:spelling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1D2471"/>
    <w:rsid w:val="001143FC"/>
    <w:rsid w:val="00C9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Manifesto di Rivolta femminile *</vt:lpstr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 di Rivolta femminile *</dc:title>
  <dc:creator>-</dc:creator>
  <cp:lastModifiedBy>flavia In design</cp:lastModifiedBy>
  <cp:revision>2</cp:revision>
  <dcterms:created xsi:type="dcterms:W3CDTF">2014-11-28T17:36:00Z</dcterms:created>
  <dcterms:modified xsi:type="dcterms:W3CDTF">2014-11-28T17:36:00Z</dcterms:modified>
</cp:coreProperties>
</file>